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480DA" w14:textId="4647F65B" w:rsidR="009C681D" w:rsidRPr="005E5966" w:rsidRDefault="009C681D" w:rsidP="005E5966">
      <w:pPr>
        <w:jc w:val="both"/>
      </w:pPr>
      <w:r>
        <w:rPr>
          <w:b/>
          <w:u w:val="single"/>
        </w:rPr>
        <w:t>Contexte</w:t>
      </w:r>
    </w:p>
    <w:p w14:paraId="34501AC4" w14:textId="2614486B" w:rsidR="009C681D" w:rsidRDefault="009C681D" w:rsidP="005E5966">
      <w:pPr>
        <w:jc w:val="both"/>
      </w:pPr>
      <w:r>
        <w:t xml:space="preserve">Depuis le 14 janvier 2013, l’autorité </w:t>
      </w:r>
      <w:r w:rsidRPr="007F392C">
        <w:t xml:space="preserve">internationale des fonds marins (International Seabed Authority, IAS) a accordé une concession pour une exploitation minière </w:t>
      </w:r>
      <w:r w:rsidR="007F392C" w:rsidRPr="007F392C">
        <w:t xml:space="preserve">marine </w:t>
      </w:r>
      <w:r w:rsidRPr="007F392C">
        <w:t xml:space="preserve">en eau profonde dans la partie orientale de la zone de fracture </w:t>
      </w:r>
      <w:r w:rsidR="007F392C" w:rsidRPr="007F392C">
        <w:t xml:space="preserve">de </w:t>
      </w:r>
      <w:r w:rsidRPr="007F392C">
        <w:t>Clarion Clipperton</w:t>
      </w:r>
      <w:r>
        <w:t xml:space="preserve"> (</w:t>
      </w:r>
      <w:r w:rsidR="007F392C">
        <w:t xml:space="preserve">Clarion Clipperton Fracture Zone ou </w:t>
      </w:r>
      <w:r>
        <w:t xml:space="preserve">CCFZ) dans l’océan Pacifique à la </w:t>
      </w:r>
      <w:r>
        <w:rPr>
          <w:b/>
          <w:u w:val="single"/>
        </w:rPr>
        <w:t>société belge</w:t>
      </w:r>
      <w:r w:rsidRPr="009C681D">
        <w:t xml:space="preserve"> Global Sea Mineral</w:t>
      </w:r>
      <w:r>
        <w:t xml:space="preserve"> Resources SA (GSR), qui est </w:t>
      </w:r>
      <w:r w:rsidRPr="007F392C">
        <w:t xml:space="preserve">une filiale de DEME. La superficie de la concession </w:t>
      </w:r>
      <w:r w:rsidR="007F392C" w:rsidRPr="007F392C">
        <w:t xml:space="preserve">(76 728 km²) </w:t>
      </w:r>
      <w:r w:rsidR="007F392C">
        <w:t xml:space="preserve">est </w:t>
      </w:r>
      <w:r w:rsidRPr="007F392C">
        <w:t xml:space="preserve">égale </w:t>
      </w:r>
      <w:r w:rsidR="007F392C">
        <w:t>à plus de</w:t>
      </w:r>
      <w:r w:rsidRPr="007F392C">
        <w:t xml:space="preserve"> quatre fois celle de la Be</w:t>
      </w:r>
      <w:r>
        <w:t xml:space="preserve">lgique. </w:t>
      </w:r>
      <w:r w:rsidR="00B337F1">
        <w:t xml:space="preserve">Des </w:t>
      </w:r>
      <w:r w:rsidR="00B337F1" w:rsidRPr="007F392C">
        <w:t>nodules</w:t>
      </w:r>
      <w:r w:rsidR="00B337F1">
        <w:t xml:space="preserve"> de manganèse disséminés </w:t>
      </w:r>
      <w:r w:rsidR="00850B5F">
        <w:t>dans</w:t>
      </w:r>
      <w:r w:rsidR="00B337F1">
        <w:t xml:space="preserve"> l’ensemble de la région p</w:t>
      </w:r>
      <w:r w:rsidR="00850B5F">
        <w:t>euvent être trouvés sur le fond</w:t>
      </w:r>
      <w:r w:rsidR="00B337F1">
        <w:t xml:space="preserve"> couvert de sédiment.</w:t>
      </w:r>
    </w:p>
    <w:p w14:paraId="56DB1A3B" w14:textId="3787C386" w:rsidR="00B337F1" w:rsidRDefault="00B337F1" w:rsidP="005E5966">
      <w:pPr>
        <w:jc w:val="both"/>
      </w:pPr>
      <w:r>
        <w:t xml:space="preserve">GSR </w:t>
      </w:r>
      <w:r w:rsidR="00D73699">
        <w:t xml:space="preserve">prévoit </w:t>
      </w:r>
      <w:r>
        <w:t>une première</w:t>
      </w:r>
      <w:r w:rsidR="00D73699">
        <w:t xml:space="preserve"> phase</w:t>
      </w:r>
      <w:r>
        <w:t xml:space="preserve"> exploitation </w:t>
      </w:r>
      <w:r w:rsidR="00850B5F">
        <w:t xml:space="preserve">tant </w:t>
      </w:r>
      <w:r>
        <w:t xml:space="preserve">dans les zones de concession belge </w:t>
      </w:r>
      <w:r w:rsidR="00850B5F">
        <w:t>qu’</w:t>
      </w:r>
      <w:r w:rsidR="007D2EED">
        <w:t>allemande dans</w:t>
      </w:r>
      <w:r>
        <w:t xml:space="preserve"> l’</w:t>
      </w:r>
      <w:r w:rsidR="007D2EED">
        <w:t>o</w:t>
      </w:r>
      <w:r>
        <w:t xml:space="preserve">céan Pacifique en avril 2019. GSR </w:t>
      </w:r>
      <w:r w:rsidR="007D2EED" w:rsidRPr="007D2EED">
        <w:t>déposera</w:t>
      </w:r>
      <w:r>
        <w:t xml:space="preserve"> sur le fond marin un véhicule collecteur qui récoltera les nodules polymétalliques. </w:t>
      </w:r>
      <w:r w:rsidR="007D2EED">
        <w:t xml:space="preserve">Tandis que </w:t>
      </w:r>
      <w:r>
        <w:t xml:space="preserve">GSR effectuera </w:t>
      </w:r>
      <w:r w:rsidRPr="007D2EED">
        <w:t>elle</w:t>
      </w:r>
      <w:r>
        <w:t xml:space="preserve">-même les mesures des impacts environnementaux de ses tests, l’entreprise a </w:t>
      </w:r>
      <w:r w:rsidR="007D2EED" w:rsidRPr="007D2EED">
        <w:t>accepté</w:t>
      </w:r>
      <w:r>
        <w:t xml:space="preserve"> de se coordonner avec </w:t>
      </w:r>
      <w:r w:rsidRPr="007D2EED">
        <w:t>la</w:t>
      </w:r>
      <w:r w:rsidRPr="00B337F1">
        <w:t xml:space="preserve"> </w:t>
      </w:r>
      <w:r>
        <w:t xml:space="preserve">Joint Programming Inititiative </w:t>
      </w:r>
      <w:r w:rsidR="007D2EED">
        <w:t>« </w:t>
      </w:r>
      <w:r>
        <w:t>Health</w:t>
      </w:r>
      <w:r w:rsidR="007D2EED">
        <w:t>y and</w:t>
      </w:r>
      <w:r>
        <w:t xml:space="preserve"> Productive Seas and Oceans</w:t>
      </w:r>
      <w:r w:rsidR="007D2EED">
        <w:t> »</w:t>
      </w:r>
      <w:r>
        <w:t xml:space="preserve"> (JPI Oceans)</w:t>
      </w:r>
      <w:r w:rsidR="008205D1">
        <w:t xml:space="preserve"> pour un </w:t>
      </w:r>
      <w:r w:rsidR="006A645F" w:rsidRPr="006A645F">
        <w:t xml:space="preserve">suivi </w:t>
      </w:r>
      <w:r w:rsidR="008205D1">
        <w:t>indépendant de leurs tests.</w:t>
      </w:r>
    </w:p>
    <w:p w14:paraId="2E8A3795" w14:textId="39AA70EC" w:rsidR="008205D1" w:rsidRDefault="008205D1" w:rsidP="005E5966">
      <w:pPr>
        <w:jc w:val="both"/>
      </w:pPr>
      <w:r>
        <w:t xml:space="preserve">GSR a </w:t>
      </w:r>
      <w:r w:rsidR="00D73699">
        <w:t>établi</w:t>
      </w:r>
      <w:r>
        <w:t xml:space="preserve"> et publié un</w:t>
      </w:r>
      <w:r w:rsidR="00D73699">
        <w:t>e déclaration d’impact environnemental</w:t>
      </w:r>
      <w:r>
        <w:t xml:space="preserve"> </w:t>
      </w:r>
      <w:r w:rsidR="00D73699">
        <w:t>(</w:t>
      </w:r>
      <w:r>
        <w:t xml:space="preserve">Environmental </w:t>
      </w:r>
      <w:r w:rsidR="00D73699">
        <w:t>I</w:t>
      </w:r>
      <w:r>
        <w:t xml:space="preserve">mpact </w:t>
      </w:r>
      <w:r w:rsidR="00D73699">
        <w:t>Statement : EIS) concernant le test</w:t>
      </w:r>
      <w:r>
        <w:t>, à petite échelle, des éléments d’une installation destinée à la</w:t>
      </w:r>
      <w:r w:rsidR="00D73699">
        <w:t xml:space="preserve"> collecte des nodules polymétall</w:t>
      </w:r>
      <w:r>
        <w:t xml:space="preserve">iques sur le fond marin, dans la zone de fracture </w:t>
      </w:r>
      <w:r w:rsidR="00D73699">
        <w:t xml:space="preserve">de </w:t>
      </w:r>
      <w:r>
        <w:t>Clarion-Clipperton</w:t>
      </w:r>
      <w:r w:rsidR="00D73699">
        <w:t>,</w:t>
      </w:r>
      <w:r>
        <w:t xml:space="preserve"> dans l’océan Pacifique.</w:t>
      </w:r>
    </w:p>
    <w:p w14:paraId="07831172" w14:textId="11F6B45C" w:rsidR="008205D1" w:rsidRDefault="008205D1" w:rsidP="005E5966">
      <w:pPr>
        <w:jc w:val="both"/>
      </w:pPr>
      <w:r>
        <w:t xml:space="preserve">En tant qu’État </w:t>
      </w:r>
      <w:r w:rsidR="00F246C4">
        <w:t>de support</w:t>
      </w:r>
      <w:r>
        <w:t xml:space="preserve"> et membre d</w:t>
      </w:r>
      <w:r w:rsidR="006A645F">
        <w:t>e l</w:t>
      </w:r>
      <w:r>
        <w:t xml:space="preserve">’ISA, le gouvernement fédéral belge a organisé une </w:t>
      </w:r>
      <w:r w:rsidRPr="008205D1">
        <w:rPr>
          <w:u w:val="single"/>
        </w:rPr>
        <w:t>consultation publique</w:t>
      </w:r>
      <w:r>
        <w:t xml:space="preserve"> pour la partie de l’EIS liée aux tests dans la région concédée à GSR.</w:t>
      </w:r>
    </w:p>
    <w:p w14:paraId="4C8C68C6" w14:textId="77777777" w:rsidR="00933A72" w:rsidRPr="00933A72" w:rsidRDefault="00933A72" w:rsidP="005E5966">
      <w:pPr>
        <w:jc w:val="both"/>
        <w:rPr>
          <w:b/>
          <w:u w:val="single"/>
        </w:rPr>
      </w:pPr>
      <w:r>
        <w:rPr>
          <w:b/>
          <w:u w:val="single"/>
        </w:rPr>
        <w:t>Évaluation de l’EIS de GSR</w:t>
      </w:r>
    </w:p>
    <w:p w14:paraId="419C5F4D" w14:textId="0ABCBD6F" w:rsidR="00933A72" w:rsidRDefault="00933A72" w:rsidP="005E5966">
      <w:pPr>
        <w:jc w:val="both"/>
      </w:pPr>
      <w:bookmarkStart w:id="0" w:name="_Hlk525034358"/>
      <w:r>
        <w:t>Le WWF a fait évaluer l’EIS en term</w:t>
      </w:r>
      <w:r w:rsidR="006A645F">
        <w:t>es d’approche méthodologique, d’exhaustivité</w:t>
      </w:r>
      <w:r>
        <w:t xml:space="preserve"> et d</w:t>
      </w:r>
      <w:r w:rsidR="00F246C4">
        <w:t xml:space="preserve">e faisabilité </w:t>
      </w:r>
      <w:r>
        <w:t xml:space="preserve">par un </w:t>
      </w:r>
      <w:r w:rsidRPr="006A645F">
        <w:t>bureau de conseil</w:t>
      </w:r>
      <w:r>
        <w:t xml:space="preserve"> </w:t>
      </w:r>
      <w:r w:rsidR="006A645F">
        <w:t>doté d’</w:t>
      </w:r>
      <w:r>
        <w:t xml:space="preserve">une expertise dans les rapports d’impacts environnementaux </w:t>
      </w:r>
      <w:r w:rsidR="00F246C4">
        <w:t>en milieu marin</w:t>
      </w:r>
      <w:r>
        <w:t xml:space="preserve">. </w:t>
      </w:r>
      <w:r w:rsidR="00517BB3">
        <w:t>Les recommandations concrètes découlant de cette analyse sont les suivantes :</w:t>
      </w:r>
    </w:p>
    <w:bookmarkEnd w:id="0"/>
    <w:p w14:paraId="2700F1FA" w14:textId="1ED9D43A" w:rsidR="00517BB3" w:rsidRDefault="00517BB3" w:rsidP="005E5966">
      <w:pPr>
        <w:pStyle w:val="ListParagraph"/>
        <w:numPr>
          <w:ilvl w:val="0"/>
          <w:numId w:val="1"/>
        </w:numPr>
        <w:jc w:val="both"/>
      </w:pPr>
      <w:r>
        <w:t xml:space="preserve">La thèse principale du rapport opérationnel selon laquelle les impacts seront réduits n’est pas ou </w:t>
      </w:r>
      <w:r w:rsidR="006A645F">
        <w:t>in</w:t>
      </w:r>
      <w:r>
        <w:t xml:space="preserve">suffisamment étayée par la description détaillée des effets potentiels. Les lacunes décrites dans les connaissances constituent une limitation pour </w:t>
      </w:r>
      <w:r w:rsidR="006A645F">
        <w:t>la détermination de</w:t>
      </w:r>
      <w:r w:rsidR="00F246C4">
        <w:t xml:space="preserve"> l’ampleur des impacts. Elles</w:t>
      </w:r>
      <w:r>
        <w:t xml:space="preserve"> ne permettent pas d’affirmer que ces impacts seront absents ou </w:t>
      </w:r>
      <w:r w:rsidR="00111270">
        <w:t>réduits</w:t>
      </w:r>
      <w:r>
        <w:t xml:space="preserve">. </w:t>
      </w:r>
      <w:r w:rsidR="000572C9">
        <w:t xml:space="preserve">En tenant compte de la vulnérabilité et du caractère unique de l’écosystème </w:t>
      </w:r>
      <w:r w:rsidR="000572C9" w:rsidRPr="00111270">
        <w:t>benthique</w:t>
      </w:r>
      <w:r w:rsidR="000572C9">
        <w:t xml:space="preserve"> et </w:t>
      </w:r>
      <w:r w:rsidR="00111270">
        <w:t>en observant le</w:t>
      </w:r>
      <w:r w:rsidR="000572C9">
        <w:t xml:space="preserve"> principe de précaution, la conclusion devrait être que des effets sensibles ne peuvent être exclus.</w:t>
      </w:r>
    </w:p>
    <w:p w14:paraId="6A4FD7F6" w14:textId="6CE1242F" w:rsidR="00517BB3" w:rsidRDefault="000572C9" w:rsidP="005E5966">
      <w:pPr>
        <w:pStyle w:val="ListParagraph"/>
        <w:numPr>
          <w:ilvl w:val="0"/>
          <w:numId w:val="1"/>
        </w:numPr>
        <w:jc w:val="both"/>
      </w:pPr>
      <w:r>
        <w:t xml:space="preserve">La phase de test et le </w:t>
      </w:r>
      <w:r w:rsidR="00111270">
        <w:t xml:space="preserve">programme de </w:t>
      </w:r>
      <w:r>
        <w:t xml:space="preserve">contrôle ne portent pas </w:t>
      </w:r>
      <w:r w:rsidR="00111270">
        <w:t>sur l’ensemble d</w:t>
      </w:r>
      <w:r>
        <w:t>es éléments de l’opération commerciale, et par conséquent ne peuvent que partiellement refléter l’impact de cette opération. La phase de test se focalise sur le véhicule collecteur et la récolte des nodules polymétalliques. Il est</w:t>
      </w:r>
      <w:r w:rsidR="00FB4615">
        <w:t xml:space="preserve"> </w:t>
      </w:r>
      <w:r>
        <w:t xml:space="preserve">nécessaire </w:t>
      </w:r>
      <w:r w:rsidR="00FB4615">
        <w:t>de mettre en place</w:t>
      </w:r>
      <w:r>
        <w:t xml:space="preserve"> des projets </w:t>
      </w:r>
      <w:r w:rsidR="00FB4615" w:rsidRPr="00111270">
        <w:t>pilotes</w:t>
      </w:r>
      <w:r>
        <w:t xml:space="preserve"> </w:t>
      </w:r>
      <w:r w:rsidR="00111270">
        <w:t>et</w:t>
      </w:r>
      <w:r w:rsidR="00FB4615">
        <w:t xml:space="preserve"> </w:t>
      </w:r>
      <w:r>
        <w:t>des programmes de contrôle</w:t>
      </w:r>
      <w:r w:rsidR="00FB4615">
        <w:t xml:space="preserve"> pour les autres aspects du projet d’exploitation (p.ex. les systèmes permettant de faire remonter les nodules à la surface, </w:t>
      </w:r>
      <w:r w:rsidR="00FB4615" w:rsidRPr="00111270">
        <w:t>l’évacuation des eaux à bord</w:t>
      </w:r>
      <w:r w:rsidR="00FB4615">
        <w:t xml:space="preserve"> des navires, l</w:t>
      </w:r>
      <w:r w:rsidR="00111270">
        <w:t>e rejet</w:t>
      </w:r>
      <w:r w:rsidR="00FB4615">
        <w:t xml:space="preserve"> des eaux de lavage e</w:t>
      </w:r>
      <w:r w:rsidR="000F6298">
        <w:t>t de transport, le traitement des</w:t>
      </w:r>
      <w:r w:rsidR="00FB4615">
        <w:t xml:space="preserve"> minerais…). Ce n’est que dans ces conditions qu’une estimation </w:t>
      </w:r>
      <w:r w:rsidR="00111270">
        <w:t xml:space="preserve">satisfaisante </w:t>
      </w:r>
      <w:r w:rsidR="00FB4615">
        <w:t>de l’impact est possible.</w:t>
      </w:r>
    </w:p>
    <w:p w14:paraId="141CF7E6" w14:textId="68BDBD55" w:rsidR="00FB4615" w:rsidRDefault="00FB4615" w:rsidP="005E5966">
      <w:pPr>
        <w:pStyle w:val="ListParagraph"/>
        <w:numPr>
          <w:ilvl w:val="0"/>
          <w:numId w:val="1"/>
        </w:numPr>
        <w:jc w:val="both"/>
      </w:pPr>
      <w:r>
        <w:t xml:space="preserve">Tous les éléments du </w:t>
      </w:r>
      <w:r w:rsidRPr="00A95037">
        <w:t>formulaire proposé dans</w:t>
      </w:r>
      <w:r w:rsidR="00A95037" w:rsidRPr="00A95037">
        <w:t xml:space="preserve"> le document</w:t>
      </w:r>
      <w:r>
        <w:t xml:space="preserve"> ISBA 23/LTC/CRP.3 </w:t>
      </w:r>
      <w:r w:rsidR="002A000D">
        <w:t xml:space="preserve">ne sont pas appliqués </w:t>
      </w:r>
      <w:r w:rsidR="00A95037" w:rsidRPr="00A95037">
        <w:t>à une même échelle</w:t>
      </w:r>
      <w:r w:rsidR="00A95037">
        <w:t xml:space="preserve"> dans cet EIS. Selon l’initiateur du projet</w:t>
      </w:r>
      <w:r w:rsidR="002A000D" w:rsidRPr="00A95037">
        <w:t>,</w:t>
      </w:r>
      <w:r w:rsidR="002A000D">
        <w:t xml:space="preserve"> ces différences sont acceptables parce qu’il ne s’agit pas d’une opération industrielle à grande échelle mais seulement d’un projet pilote qui constitue une partie d’une phase exploratoire, limitée dans sa durée et </w:t>
      </w:r>
      <w:r w:rsidR="00A95037">
        <w:t>quant à</w:t>
      </w:r>
      <w:r w:rsidR="002A000D">
        <w:t xml:space="preserve"> la surface impactée, </w:t>
      </w:r>
      <w:r w:rsidR="00F246C4">
        <w:t xml:space="preserve">et </w:t>
      </w:r>
      <w:r w:rsidR="002A000D">
        <w:t xml:space="preserve">qui ne comporte pas tous les éléments et </w:t>
      </w:r>
      <w:r w:rsidR="002A000D">
        <w:lastRenderedPageBreak/>
        <w:t>composantes d’une opération commerciale à grande échelle. La mention explicite des raisons pour lesquelles des éléments sont ou ne sont pas traités</w:t>
      </w:r>
      <w:r w:rsidR="006B6D87">
        <w:t xml:space="preserve"> dans l’EIS témoignerait cependant de la mise en œuvre de</w:t>
      </w:r>
      <w:r w:rsidR="00A95037">
        <w:t xml:space="preserve"> bonnes </w:t>
      </w:r>
      <w:r w:rsidR="006B6D87">
        <w:t>pratiques et d’une gouvernance crédible en matière de Corporate Social Responsability (CSR).</w:t>
      </w:r>
    </w:p>
    <w:p w14:paraId="521555AC" w14:textId="77777777" w:rsidR="00CE7EAE" w:rsidRDefault="00CE7EAE" w:rsidP="005E5966">
      <w:pPr>
        <w:pStyle w:val="ListParagraph"/>
        <w:jc w:val="both"/>
      </w:pPr>
    </w:p>
    <w:p w14:paraId="365EEBE0" w14:textId="6D25197F" w:rsidR="006B6D87" w:rsidRDefault="006B6D87" w:rsidP="005E5966">
      <w:pPr>
        <w:pStyle w:val="ListParagraph"/>
        <w:numPr>
          <w:ilvl w:val="0"/>
          <w:numId w:val="1"/>
        </w:numPr>
        <w:jc w:val="both"/>
      </w:pPr>
      <w:r>
        <w:t>Le WWF demande que l’EIS soit complété</w:t>
      </w:r>
      <w:r w:rsidR="00A95037">
        <w:t>e</w:t>
      </w:r>
      <w:r>
        <w:t xml:space="preserve"> par les points suivants :</w:t>
      </w:r>
    </w:p>
    <w:p w14:paraId="728BC87D" w14:textId="1D4294C6" w:rsidR="006B6D87" w:rsidRDefault="006B6D87" w:rsidP="005E5966">
      <w:pPr>
        <w:pStyle w:val="ListParagraph"/>
        <w:numPr>
          <w:ilvl w:val="0"/>
          <w:numId w:val="2"/>
        </w:numPr>
        <w:jc w:val="both"/>
      </w:pPr>
      <w:r>
        <w:t xml:space="preserve">Une estimation concise mais systématique </w:t>
      </w:r>
      <w:r w:rsidRPr="00A95037">
        <w:t xml:space="preserve">de </w:t>
      </w:r>
      <w:r w:rsidR="005E2E65" w:rsidRPr="00A95037">
        <w:t>la portée</w:t>
      </w:r>
      <w:r w:rsidR="00A95037" w:rsidRPr="00A95037">
        <w:t>,</w:t>
      </w:r>
      <w:r w:rsidRPr="00A95037">
        <w:t xml:space="preserve"> en partant des mesures et des relations de cause à effet impliquées</w:t>
      </w:r>
      <w:r w:rsidR="00A95037" w:rsidRPr="00A95037">
        <w:t>,</w:t>
      </w:r>
      <w:r w:rsidRPr="00A95037">
        <w:t xml:space="preserve"> </w:t>
      </w:r>
      <w:r>
        <w:t>permettrait une meilleure compréhension</w:t>
      </w:r>
      <w:r w:rsidR="003C0ABB">
        <w:t xml:space="preserve"> des raisons pour lesquelles certains effets déterminés sont examinés et d’autres ne le sont pas. Ceci devrait apparaître </w:t>
      </w:r>
      <w:r w:rsidR="00815FF7">
        <w:t xml:space="preserve">de préférence dans un paragraphe ou </w:t>
      </w:r>
      <w:r w:rsidR="00A95037">
        <w:t>une section</w:t>
      </w:r>
      <w:r w:rsidR="00815FF7">
        <w:t xml:space="preserve"> </w:t>
      </w:r>
      <w:r w:rsidR="00A95037">
        <w:t>distincte</w:t>
      </w:r>
      <w:r w:rsidR="00815FF7">
        <w:t>.</w:t>
      </w:r>
    </w:p>
    <w:p w14:paraId="779754A0" w14:textId="7DF59BA8" w:rsidR="006B6D87" w:rsidRDefault="00815FF7" w:rsidP="005E5966">
      <w:pPr>
        <w:pStyle w:val="ListParagraph"/>
        <w:numPr>
          <w:ilvl w:val="0"/>
          <w:numId w:val="2"/>
        </w:numPr>
        <w:jc w:val="both"/>
      </w:pPr>
      <w:r>
        <w:t>Il est important de mentionner clairement et systématiquement dans le document EIS que les impacts sur l’en</w:t>
      </w:r>
      <w:r w:rsidR="00A95037">
        <w:t xml:space="preserve">vironnement physico-chimique agissent </w:t>
      </w:r>
      <w:r>
        <w:t>sur les récepteurs biologiques, même si les mécanismes précis n</w:t>
      </w:r>
      <w:r w:rsidR="00A95037">
        <w:t>e</w:t>
      </w:r>
      <w:r>
        <w:t xml:space="preserve"> sont pas toujours connus.</w:t>
      </w:r>
    </w:p>
    <w:p w14:paraId="039669A7" w14:textId="30E176AB" w:rsidR="006B6D87" w:rsidRDefault="000F6154" w:rsidP="005E5966">
      <w:pPr>
        <w:pStyle w:val="ListParagraph"/>
        <w:numPr>
          <w:ilvl w:val="0"/>
          <w:numId w:val="2"/>
        </w:numPr>
        <w:jc w:val="both"/>
      </w:pPr>
      <w:r>
        <w:t xml:space="preserve">Dans l’estimation de </w:t>
      </w:r>
      <w:r w:rsidRPr="00A95037">
        <w:t>la portée</w:t>
      </w:r>
      <w:r>
        <w:t>, i</w:t>
      </w:r>
      <w:r w:rsidR="005E2E65">
        <w:t xml:space="preserve">l est </w:t>
      </w:r>
      <w:r>
        <w:t>recommandé</w:t>
      </w:r>
      <w:r w:rsidR="005E2E65">
        <w:t xml:space="preserve"> de faire explicitement la différence entre les effets qui</w:t>
      </w:r>
      <w:r w:rsidR="00A95037">
        <w:t xml:space="preserve"> sont pertinents uniquement au</w:t>
      </w:r>
      <w:r w:rsidR="005E2E65">
        <w:t xml:space="preserve"> moment</w:t>
      </w:r>
      <w:r w:rsidR="00A95037">
        <w:t xml:space="preserve"> du test</w:t>
      </w:r>
      <w:r w:rsidR="00003949">
        <w:t xml:space="preserve"> </w:t>
      </w:r>
      <w:bookmarkStart w:id="1" w:name="_GoBack"/>
      <w:bookmarkEnd w:id="1"/>
      <w:r w:rsidR="005E2E65">
        <w:t>la portée spécifique d</w:t>
      </w:r>
      <w:r w:rsidR="00521ED8">
        <w:t xml:space="preserve">u test) et les effets </w:t>
      </w:r>
      <w:r w:rsidR="00521ED8" w:rsidRPr="00521ED8">
        <w:t>lors de</w:t>
      </w:r>
      <w:r w:rsidR="005E2E65">
        <w:t xml:space="preserve"> l’exploitation</w:t>
      </w:r>
      <w:r>
        <w:t xml:space="preserve"> commerciale</w:t>
      </w:r>
      <w:r w:rsidR="00521ED8">
        <w:t>.</w:t>
      </w:r>
      <w:r>
        <w:t xml:space="preserve"> De cette manière, il </w:t>
      </w:r>
      <w:r w:rsidR="005B6628" w:rsidRPr="00521ED8">
        <w:t xml:space="preserve">sera </w:t>
      </w:r>
      <w:r w:rsidR="00521ED8" w:rsidRPr="00521ED8">
        <w:t>clair</w:t>
      </w:r>
      <w:r w:rsidR="00521ED8">
        <w:t>ement indiqué</w:t>
      </w:r>
      <w:r w:rsidR="005B6628">
        <w:t xml:space="preserve"> </w:t>
      </w:r>
      <w:r>
        <w:t>que l’EIS ne rend compte que d’une partie des impacts d’une éventuelle exploitation commerciale.</w:t>
      </w:r>
    </w:p>
    <w:p w14:paraId="3C5FD1F5" w14:textId="6538E1CA" w:rsidR="005B6628" w:rsidRDefault="005B6628" w:rsidP="005E5966">
      <w:pPr>
        <w:pStyle w:val="ListParagraph"/>
        <w:numPr>
          <w:ilvl w:val="0"/>
          <w:numId w:val="2"/>
        </w:numPr>
        <w:jc w:val="both"/>
      </w:pPr>
      <w:r>
        <w:t>Il est important d’élaborer</w:t>
      </w:r>
      <w:r w:rsidR="00EC1D18">
        <w:t xml:space="preserve"> un cadre </w:t>
      </w:r>
      <w:r w:rsidR="005E5966">
        <w:t>conceptuel</w:t>
      </w:r>
      <w:r w:rsidR="00222C20">
        <w:t xml:space="preserve"> qui permet</w:t>
      </w:r>
      <w:r w:rsidR="00F246C4">
        <w:t>te</w:t>
      </w:r>
      <w:r w:rsidR="00222C20">
        <w:t xml:space="preserve"> de déterminer si un effet </w:t>
      </w:r>
      <w:r w:rsidR="00521ED8" w:rsidRPr="00521ED8">
        <w:t>observé</w:t>
      </w:r>
      <w:r w:rsidR="00222C20">
        <w:t xml:space="preserve"> ou prévu </w:t>
      </w:r>
      <w:r w:rsidR="00EC1D18">
        <w:t xml:space="preserve">est ou non significatif et, le cas échéant, </w:t>
      </w:r>
      <w:r w:rsidR="00521ED8">
        <w:t>sensible</w:t>
      </w:r>
      <w:r w:rsidR="00EC1D18" w:rsidRPr="00EC1D18">
        <w:t>.</w:t>
      </w:r>
      <w:r w:rsidR="00EC1D18">
        <w:t xml:space="preserve"> Étant donné que les lacunes mentionnées ne permettent pas de décider si des effets biologiques sont à prévoir </w:t>
      </w:r>
      <w:r w:rsidR="00521ED8">
        <w:t>ni</w:t>
      </w:r>
      <w:r w:rsidR="00EC1D18">
        <w:t xml:space="preserve"> quelle sera leur ampleur, ce cadre </w:t>
      </w:r>
      <w:r w:rsidR="005E5966">
        <w:t>conceptuel</w:t>
      </w:r>
      <w:r w:rsidR="00EC1D18">
        <w:t xml:space="preserve"> ne peut pas encore être appliqué dans l’EIS</w:t>
      </w:r>
      <w:r w:rsidR="00CE7EAE">
        <w:t xml:space="preserve">. </w:t>
      </w:r>
      <w:r w:rsidR="000D582E">
        <w:t xml:space="preserve">Dans l’EIS, il devrait être clairement indiqué qu’un tel </w:t>
      </w:r>
      <w:r w:rsidR="005E5966">
        <w:t xml:space="preserve">cadre conceptuel </w:t>
      </w:r>
      <w:r w:rsidR="000D582E">
        <w:t xml:space="preserve">n’est pas encore intégralement disponible, mais sera établi sur base des résultats de </w:t>
      </w:r>
      <w:r w:rsidR="00521ED8">
        <w:t>l’étude.</w:t>
      </w:r>
    </w:p>
    <w:p w14:paraId="430676E0" w14:textId="437D458F" w:rsidR="002208C9" w:rsidRDefault="000D582E" w:rsidP="005E5966">
      <w:pPr>
        <w:pStyle w:val="ListParagraph"/>
        <w:numPr>
          <w:ilvl w:val="0"/>
          <w:numId w:val="2"/>
        </w:numPr>
        <w:jc w:val="both"/>
      </w:pPr>
      <w:r>
        <w:t xml:space="preserve">La description du contexte politique, juridique et administratif devrait être </w:t>
      </w:r>
      <w:r w:rsidR="00D02B1C">
        <w:t>plus complète</w:t>
      </w:r>
      <w:r>
        <w:t xml:space="preserve"> et plus étoffée</w:t>
      </w:r>
      <w:r w:rsidR="002208C9">
        <w:t xml:space="preserve">, notamment </w:t>
      </w:r>
      <w:r w:rsidR="00D02B1C">
        <w:t xml:space="preserve">en incluant </w:t>
      </w:r>
      <w:r w:rsidR="002208C9">
        <w:t>un aperçu des cadres normatifs qui seront ou pourront être utilisés pour</w:t>
      </w:r>
      <w:r w:rsidR="00D02B1C">
        <w:t xml:space="preserve"> </w:t>
      </w:r>
      <w:r w:rsidR="00D02B1C" w:rsidRPr="00D02B1C">
        <w:t xml:space="preserve">mesurer </w:t>
      </w:r>
      <w:r w:rsidR="002208C9">
        <w:t>l’importance d’effets déterminés, en précisant ce qui est signifié par « relevant appropriate national requirem</w:t>
      </w:r>
      <w:r w:rsidR="00D02B1C">
        <w:t>ents by the sponsoring states »</w:t>
      </w:r>
      <w:r w:rsidR="002208C9">
        <w:t xml:space="preserve"> et en reprenant</w:t>
      </w:r>
      <w:r w:rsidR="00EF289D">
        <w:t>,</w:t>
      </w:r>
      <w:r w:rsidR="002208C9">
        <w:t xml:space="preserve"> </w:t>
      </w:r>
      <w:r w:rsidR="00EF289D">
        <w:t xml:space="preserve">dans la même section, </w:t>
      </w:r>
      <w:r w:rsidR="002208C9">
        <w:t>les références pertinentes ailleurs dans le texte (p.ex. à MARPOL)</w:t>
      </w:r>
      <w:r w:rsidR="00D02B1C">
        <w:t>.</w:t>
      </w:r>
    </w:p>
    <w:p w14:paraId="6A0B452A" w14:textId="63E9986C" w:rsidR="000D582E" w:rsidRDefault="00D02B1C" w:rsidP="005E5966">
      <w:pPr>
        <w:pStyle w:val="ListParagraph"/>
        <w:numPr>
          <w:ilvl w:val="0"/>
          <w:numId w:val="2"/>
        </w:numPr>
        <w:jc w:val="both"/>
      </w:pPr>
      <w:r>
        <w:t>La logique (économique et sociale) sous-jacente au projet doi</w:t>
      </w:r>
      <w:r w:rsidR="00D81786">
        <w:t xml:space="preserve">t être mieux </w:t>
      </w:r>
      <w:r>
        <w:t>expliquée</w:t>
      </w:r>
      <w:r w:rsidR="00D81786">
        <w:t xml:space="preserve">. À côté de cela, les alternatives stratégiques en vue de satisfaire (en partie ou totalement) </w:t>
      </w:r>
      <w:r>
        <w:t>les</w:t>
      </w:r>
      <w:r w:rsidR="00D81786">
        <w:t xml:space="preserve"> besoins </w:t>
      </w:r>
      <w:r>
        <w:t>en</w:t>
      </w:r>
      <w:r w:rsidR="00D81786">
        <w:t xml:space="preserve"> métaux spécifiques pourraient être abordées</w:t>
      </w:r>
      <w:r w:rsidR="001C1B1F">
        <w:t xml:space="preserve"> brièvement</w:t>
      </w:r>
      <w:r w:rsidR="00D81786">
        <w:t>, de même que l’évaluation des effets environnementaux des techniques d’exploitation des fonds marins à une échelle régionale…</w:t>
      </w:r>
    </w:p>
    <w:p w14:paraId="4D695BA3" w14:textId="10F0B083" w:rsidR="00D81786" w:rsidRDefault="001C1B1F" w:rsidP="005E5966">
      <w:pPr>
        <w:pStyle w:val="ListParagraph"/>
        <w:numPr>
          <w:ilvl w:val="0"/>
          <w:numId w:val="2"/>
        </w:numPr>
        <w:jc w:val="both"/>
      </w:pPr>
      <w:r>
        <w:t>Nous recommandons</w:t>
      </w:r>
      <w:r w:rsidR="00CF57B7">
        <w:t xml:space="preserve"> de donner dans l’EIS un bref aperçu des solutions alternatives (partielles) ayant fait l’objet de recherches antérieures ainsi que des raisons pour lesquelles elles n’ont pas été </w:t>
      </w:r>
      <w:r w:rsidR="00EF289D">
        <w:t>adoptées</w:t>
      </w:r>
      <w:r>
        <w:t>. Un tableau comparatif</w:t>
      </w:r>
      <w:r w:rsidR="00CF57B7">
        <w:t xml:space="preserve"> récapitulant les avantages et inconvénients de chaque solution (en termes techniques, mais aussi du point de vue environnemental) pourrait compléter cet aperçu.</w:t>
      </w:r>
    </w:p>
    <w:p w14:paraId="5DED4DF6" w14:textId="3437C5CE" w:rsidR="00EE45BE" w:rsidRDefault="00D81786" w:rsidP="005E5966">
      <w:pPr>
        <w:pStyle w:val="ListParagraph"/>
        <w:numPr>
          <w:ilvl w:val="0"/>
          <w:numId w:val="2"/>
        </w:numPr>
        <w:jc w:val="both"/>
      </w:pPr>
      <w:r>
        <w:t xml:space="preserve">L’intégration dans l’EIS d’un bref aperçu et d’une première inventorisation des possibles mesures </w:t>
      </w:r>
      <w:r w:rsidR="001C1B1F">
        <w:t>d’</w:t>
      </w:r>
      <w:r w:rsidRPr="001C1B1F">
        <w:t>atténuation</w:t>
      </w:r>
      <w:r>
        <w:t xml:space="preserve"> est à recommander. À ce stade, </w:t>
      </w:r>
      <w:r w:rsidR="00CF57B7">
        <w:t xml:space="preserve">il ne peut être </w:t>
      </w:r>
      <w:r w:rsidR="001C1B1F">
        <w:t>démontr</w:t>
      </w:r>
      <w:r w:rsidR="00CF57B7">
        <w:t xml:space="preserve">é que le projet </w:t>
      </w:r>
      <w:r w:rsidR="00CF57B7" w:rsidRPr="001C1B1F">
        <w:t>pilote</w:t>
      </w:r>
      <w:r w:rsidR="00EF289D">
        <w:t xml:space="preserve"> est dénué</w:t>
      </w:r>
      <w:r w:rsidR="001C1B1F">
        <w:t xml:space="preserve"> d’impact</w:t>
      </w:r>
      <w:r w:rsidR="00CF57B7">
        <w:t xml:space="preserve"> et que des mesures </w:t>
      </w:r>
      <w:r w:rsidR="001C1B1F">
        <w:t>d’</w:t>
      </w:r>
      <w:r w:rsidR="00CF57B7" w:rsidRPr="001C1B1F">
        <w:t>atténuation</w:t>
      </w:r>
      <w:r w:rsidR="00CF57B7">
        <w:t xml:space="preserve"> ne sont pas nécessaires. De plus, de telles mesures</w:t>
      </w:r>
      <w:r w:rsidR="00CF57B7" w:rsidRPr="00CF57B7">
        <w:t xml:space="preserve"> </w:t>
      </w:r>
      <w:r w:rsidR="001C1B1F">
        <w:t>d’</w:t>
      </w:r>
      <w:r w:rsidR="001C1B1F" w:rsidRPr="001C1B1F">
        <w:t>atténuation</w:t>
      </w:r>
      <w:r w:rsidR="00CF57B7">
        <w:t xml:space="preserve"> </w:t>
      </w:r>
      <w:r w:rsidR="00EF289D">
        <w:t>devront</w:t>
      </w:r>
      <w:r w:rsidR="00371327">
        <w:t xml:space="preserve"> indubitablement être envisagée</w:t>
      </w:r>
      <w:r w:rsidR="001C1B1F">
        <w:t>s</w:t>
      </w:r>
      <w:r w:rsidR="00371327">
        <w:t xml:space="preserve"> lors de la phase commerciale. Lister dès maintenant</w:t>
      </w:r>
      <w:r w:rsidR="00EF289D">
        <w:t>,</w:t>
      </w:r>
      <w:r w:rsidR="00371327">
        <w:t xml:space="preserve"> dans les grandes lignes</w:t>
      </w:r>
      <w:r w:rsidR="00EF289D">
        <w:t>,</w:t>
      </w:r>
      <w:r w:rsidR="00371327">
        <w:t xml:space="preserve"> ces (potentielles) mesures </w:t>
      </w:r>
      <w:r w:rsidR="001C1B1F">
        <w:t>d’</w:t>
      </w:r>
      <w:r w:rsidR="001C1B1F" w:rsidRPr="001C1B1F">
        <w:t>atténuation</w:t>
      </w:r>
      <w:r w:rsidR="001C1B1F">
        <w:t xml:space="preserve"> </w:t>
      </w:r>
      <w:r w:rsidR="00371327">
        <w:t>permet</w:t>
      </w:r>
      <w:r w:rsidR="001C1B1F">
        <w:t>trait</w:t>
      </w:r>
      <w:r w:rsidR="00371327">
        <w:t xml:space="preserve"> de mener explicitement, d</w:t>
      </w:r>
      <w:r w:rsidR="001C1B1F">
        <w:t xml:space="preserve">ès </w:t>
      </w:r>
      <w:r w:rsidR="00371327">
        <w:t xml:space="preserve">le programme de recherche, des </w:t>
      </w:r>
      <w:r w:rsidR="001C1B1F">
        <w:t>études concernant</w:t>
      </w:r>
      <w:r w:rsidR="00371327">
        <w:t xml:space="preserve"> l’efficacité, la faisabilité et les effets négatifs des mesures </w:t>
      </w:r>
      <w:r w:rsidR="001C1B1F">
        <w:t>d’</w:t>
      </w:r>
      <w:r w:rsidR="001C1B1F" w:rsidRPr="001C1B1F">
        <w:t>atténuation</w:t>
      </w:r>
      <w:r w:rsidR="001C1B1F">
        <w:t xml:space="preserve"> </w:t>
      </w:r>
      <w:r w:rsidR="00EE45BE">
        <w:t>qui pourraient être envisagées.</w:t>
      </w:r>
    </w:p>
    <w:p w14:paraId="73D4B6B9" w14:textId="451B5BC7" w:rsidR="00D81786" w:rsidRDefault="00EE45BE" w:rsidP="005E5966">
      <w:pPr>
        <w:pStyle w:val="ListParagraph"/>
        <w:numPr>
          <w:ilvl w:val="0"/>
          <w:numId w:val="2"/>
        </w:numPr>
        <w:jc w:val="both"/>
      </w:pPr>
      <w:r>
        <w:lastRenderedPageBreak/>
        <w:t xml:space="preserve">Il est recommandé de récapituler les nombreuses lacunes dans les connaissances (qui sont abordées tout au long du document) </w:t>
      </w:r>
      <w:r w:rsidR="001C1B1F">
        <w:t>dans une section distincte</w:t>
      </w:r>
      <w:r>
        <w:t>, et d’aborder les conséquences de ces lacunes sur la fiabilité des conclusions qui peuvent être tirées à ce stade.</w:t>
      </w:r>
    </w:p>
    <w:p w14:paraId="4272C7AD" w14:textId="72311ABD" w:rsidR="004145A1" w:rsidRDefault="001C1B1F" w:rsidP="005E5966">
      <w:pPr>
        <w:pStyle w:val="ListParagraph"/>
        <w:numPr>
          <w:ilvl w:val="0"/>
          <w:numId w:val="2"/>
        </w:numPr>
        <w:jc w:val="both"/>
      </w:pPr>
      <w:r>
        <w:t>Doivent figurer dans le plan de gestion et de suivi environnemental : ce qui est fait pour éviter l</w:t>
      </w:r>
      <w:r w:rsidR="004145A1">
        <w:t xml:space="preserve">es impacts environnementaux et quelles actions doivent être entreprises si des impacts négatifs inacceptables étaient établis lors du projet </w:t>
      </w:r>
      <w:r w:rsidR="004145A1" w:rsidRPr="001C1B1F">
        <w:t>pilote</w:t>
      </w:r>
      <w:r w:rsidR="004145A1">
        <w:t>.</w:t>
      </w:r>
    </w:p>
    <w:p w14:paraId="4863040D" w14:textId="6CA89885" w:rsidR="004145A1" w:rsidRDefault="004145A1" w:rsidP="005E5966">
      <w:pPr>
        <w:pStyle w:val="ListParagraph"/>
        <w:numPr>
          <w:ilvl w:val="0"/>
          <w:numId w:val="2"/>
        </w:numPr>
        <w:jc w:val="both"/>
      </w:pPr>
      <w:r>
        <w:t>Une explicati</w:t>
      </w:r>
      <w:r w:rsidR="001C1B1F">
        <w:t>on concise de la relation entre</w:t>
      </w:r>
      <w:r>
        <w:t xml:space="preserve"> d’une part, les effets potentiels et les lacunes </w:t>
      </w:r>
      <w:r w:rsidRPr="001C1B1F">
        <w:t>d</w:t>
      </w:r>
      <w:r w:rsidR="001C1B1F">
        <w:t>ans la</w:t>
      </w:r>
      <w:r w:rsidRPr="001C1B1F">
        <w:t xml:space="preserve"> connaissance</w:t>
      </w:r>
      <w:r>
        <w:t xml:space="preserve"> décrits dans l’EIS et d’autre part, le programme de recherche et de suivi proposé</w:t>
      </w:r>
      <w:r w:rsidR="001C1B1F">
        <w:t>,</w:t>
      </w:r>
      <w:r>
        <w:t xml:space="preserve"> serait une clarification utile, éventuellement sous la forme d’un tableau ou d’un schéma. </w:t>
      </w:r>
    </w:p>
    <w:p w14:paraId="199F3626" w14:textId="25490A12" w:rsidR="004145A1" w:rsidRDefault="004145A1" w:rsidP="005E5966">
      <w:pPr>
        <w:pStyle w:val="ListParagraph"/>
        <w:numPr>
          <w:ilvl w:val="0"/>
          <w:numId w:val="2"/>
        </w:numPr>
        <w:jc w:val="both"/>
      </w:pPr>
      <w:r>
        <w:t xml:space="preserve">Le rapport devrait être complété </w:t>
      </w:r>
      <w:r w:rsidR="00022714">
        <w:t>par</w:t>
      </w:r>
      <w:r>
        <w:t xml:space="preserve"> un résumé (éventuellement </w:t>
      </w:r>
      <w:r w:rsidRPr="004145A1">
        <w:t>sous</w:t>
      </w:r>
      <w:r>
        <w:t xml:space="preserve"> forme</w:t>
      </w:r>
      <w:r w:rsidR="001C1B1F">
        <w:t xml:space="preserve"> d’un message clé par </w:t>
      </w:r>
      <w:r w:rsidR="001C1B1F" w:rsidRPr="00022714">
        <w:t>section</w:t>
      </w:r>
      <w:r w:rsidR="00022714">
        <w:t>) et une conclusion.</w:t>
      </w:r>
    </w:p>
    <w:p w14:paraId="0BED17F7" w14:textId="0A2E8525" w:rsidR="004145A1" w:rsidRDefault="00022714" w:rsidP="005E5966">
      <w:pPr>
        <w:pStyle w:val="ListParagraph"/>
        <w:numPr>
          <w:ilvl w:val="0"/>
          <w:numId w:val="2"/>
        </w:numPr>
        <w:jc w:val="both"/>
      </w:pPr>
      <w:r>
        <w:t xml:space="preserve">Le résumé </w:t>
      </w:r>
      <w:r w:rsidR="001C1B1F">
        <w:t>non technique</w:t>
      </w:r>
      <w:r>
        <w:t xml:space="preserve"> (executive summary) doit être élargi en reprenant des informations sur la situation actuelle, les </w:t>
      </w:r>
      <w:r w:rsidR="001C1B1F">
        <w:t>impacts potentiels</w:t>
      </w:r>
      <w:r>
        <w:t xml:space="preserve"> et les lacunes </w:t>
      </w:r>
      <w:r w:rsidR="001C1B1F">
        <w:t xml:space="preserve">dans les </w:t>
      </w:r>
      <w:r>
        <w:t>connaissance</w:t>
      </w:r>
      <w:r w:rsidR="001C1B1F">
        <w:t>s</w:t>
      </w:r>
      <w:r>
        <w:t>. La conclusion du résumé ne peut s’écarter de celle du texte principal et doit prendre en compte l’ensemble des informations du texte.</w:t>
      </w:r>
    </w:p>
    <w:p w14:paraId="21BD0F23" w14:textId="53DDC7A0" w:rsidR="00022714" w:rsidRDefault="00022714" w:rsidP="005E5966">
      <w:pPr>
        <w:pStyle w:val="ListParagraph"/>
        <w:numPr>
          <w:ilvl w:val="0"/>
          <w:numId w:val="2"/>
        </w:numPr>
        <w:jc w:val="both"/>
      </w:pPr>
      <w:r>
        <w:t>La signification de</w:t>
      </w:r>
      <w:r w:rsidR="001C1B1F">
        <w:t xml:space="preserve">s mots </w:t>
      </w:r>
      <w:r>
        <w:t>« expert review », dans la section 10, devrait être clarifiée.</w:t>
      </w:r>
    </w:p>
    <w:p w14:paraId="6CFA723A" w14:textId="77777777" w:rsidR="00022714" w:rsidRDefault="00022714" w:rsidP="005E5966">
      <w:pPr>
        <w:pStyle w:val="ListParagraph"/>
        <w:numPr>
          <w:ilvl w:val="0"/>
          <w:numId w:val="2"/>
        </w:numPr>
        <w:jc w:val="both"/>
      </w:pPr>
      <w:r>
        <w:t>L’ajout d’un glossaire explicatif au document est à recommander.</w:t>
      </w:r>
    </w:p>
    <w:p w14:paraId="5EFD03F8" w14:textId="77777777" w:rsidR="00022714" w:rsidRDefault="00022714" w:rsidP="005E5966">
      <w:pPr>
        <w:pStyle w:val="ListParagraph"/>
        <w:ind w:left="1080"/>
        <w:jc w:val="both"/>
      </w:pPr>
    </w:p>
    <w:p w14:paraId="2B8E2653" w14:textId="47748043" w:rsidR="00022714" w:rsidRDefault="00022714" w:rsidP="005E5966">
      <w:pPr>
        <w:pStyle w:val="ListParagraph"/>
        <w:numPr>
          <w:ilvl w:val="0"/>
          <w:numId w:val="1"/>
        </w:numPr>
        <w:jc w:val="both"/>
      </w:pPr>
      <w:r>
        <w:t xml:space="preserve">Le WWF demande </w:t>
      </w:r>
      <w:r w:rsidR="001C1B1F">
        <w:t>que l</w:t>
      </w:r>
      <w:r>
        <w:t>es points suivant</w:t>
      </w:r>
      <w:r w:rsidR="00EF289D">
        <w:t>s</w:t>
      </w:r>
      <w:r>
        <w:t xml:space="preserve"> </w:t>
      </w:r>
      <w:r w:rsidR="001C1B1F">
        <w:t xml:space="preserve">soient pris en compte </w:t>
      </w:r>
      <w:r>
        <w:t>lors de la mise en œuvre du projet</w:t>
      </w:r>
      <w:r w:rsidR="00C932E7">
        <w:t xml:space="preserve"> pilo</w:t>
      </w:r>
      <w:r w:rsidR="004C4840">
        <w:t>te et du programme de recherche</w:t>
      </w:r>
      <w:r w:rsidR="00EF289D">
        <w:t>)</w:t>
      </w:r>
      <w:r w:rsidR="004C4840">
        <w:t xml:space="preserve"> </w:t>
      </w:r>
      <w:r w:rsidR="00C932E7">
        <w:t>et de suivi, ainsi que dans la suite du projet :</w:t>
      </w:r>
    </w:p>
    <w:p w14:paraId="076100D8" w14:textId="6F9658D6" w:rsidR="00C932E7" w:rsidRDefault="00C932E7" w:rsidP="005E5966">
      <w:pPr>
        <w:pStyle w:val="ListParagraph"/>
        <w:numPr>
          <w:ilvl w:val="0"/>
          <w:numId w:val="3"/>
        </w:numPr>
        <w:jc w:val="both"/>
      </w:pPr>
      <w:r>
        <w:t xml:space="preserve">Le plan de </w:t>
      </w:r>
      <w:r w:rsidR="00CE7EAE">
        <w:t xml:space="preserve">monitoring </w:t>
      </w:r>
      <w:r>
        <w:t>proposé dans l’EIS devra être concrétisé et rendu opérationnel avant de pouvoir être exécuté.</w:t>
      </w:r>
    </w:p>
    <w:p w14:paraId="2F6A04E9" w14:textId="5FD10C2D" w:rsidR="00C932E7" w:rsidRDefault="00C932E7" w:rsidP="005E5966">
      <w:pPr>
        <w:pStyle w:val="ListParagraph"/>
        <w:numPr>
          <w:ilvl w:val="0"/>
          <w:numId w:val="3"/>
        </w:numPr>
        <w:jc w:val="both"/>
      </w:pPr>
      <w:r>
        <w:t xml:space="preserve">La phase de test et le </w:t>
      </w:r>
      <w:r w:rsidRPr="00CE7EAE">
        <w:t>suivi</w:t>
      </w:r>
      <w:r>
        <w:t xml:space="preserve"> qui </w:t>
      </w:r>
      <w:r w:rsidR="000F6298">
        <w:t>l’accompagne</w:t>
      </w:r>
      <w:r>
        <w:t xml:space="preserve"> ne reprend pas tous les ingrédie</w:t>
      </w:r>
      <w:r w:rsidR="000F6298">
        <w:t>nts d’une opération commerciale</w:t>
      </w:r>
      <w:r>
        <w:t xml:space="preserve"> et ne peut donc contribuer que partiellement à illustrer l’impact d’une telle opération. </w:t>
      </w:r>
      <w:r w:rsidR="000F6298">
        <w:t>D</w:t>
      </w:r>
      <w:r w:rsidR="005C4AB9">
        <w:t xml:space="preserve">es projets pilotes avec un programme de </w:t>
      </w:r>
      <w:r w:rsidR="005C4AB9" w:rsidRPr="00CE7EAE">
        <w:t>suivi</w:t>
      </w:r>
      <w:r w:rsidR="005C4AB9">
        <w:t xml:space="preserve"> seront </w:t>
      </w:r>
      <w:r w:rsidRPr="005C4AB9">
        <w:t>également</w:t>
      </w:r>
      <w:r>
        <w:t xml:space="preserve"> </w:t>
      </w:r>
      <w:r w:rsidR="005C4AB9">
        <w:t xml:space="preserve">nécessaires </w:t>
      </w:r>
      <w:r>
        <w:t xml:space="preserve">pour les autres aspects du projet (p.ex. les systèmes permettant de faire remonter les nodules à la surface, </w:t>
      </w:r>
      <w:r w:rsidR="00111270" w:rsidRPr="00111270">
        <w:t>l’évacuation des eaux à bord</w:t>
      </w:r>
      <w:r w:rsidR="00111270">
        <w:t xml:space="preserve"> des navires, le rejet des </w:t>
      </w:r>
      <w:r>
        <w:t>eaux de lavage et de transport, le traitement d</w:t>
      </w:r>
      <w:r w:rsidR="000F6298">
        <w:t>es minerais</w:t>
      </w:r>
      <w:r>
        <w:t>…)</w:t>
      </w:r>
      <w:r w:rsidR="005C4AB9">
        <w:t>.</w:t>
      </w:r>
    </w:p>
    <w:p w14:paraId="114B1917" w14:textId="0E0F06FF" w:rsidR="005C4AB9" w:rsidRDefault="005C4AB9" w:rsidP="005E5966">
      <w:pPr>
        <w:pStyle w:val="ListParagraph"/>
        <w:numPr>
          <w:ilvl w:val="0"/>
          <w:numId w:val="3"/>
        </w:numPr>
        <w:jc w:val="both"/>
      </w:pPr>
      <w:r>
        <w:t xml:space="preserve">Le suivi proposé concerne le test d’une installation qui aura en pratique une capacité plus grande et sera établie sur une </w:t>
      </w:r>
      <w:r w:rsidR="000F6298">
        <w:t xml:space="preserve">période </w:t>
      </w:r>
      <w:r>
        <w:t xml:space="preserve">(beaucoup) plus longue et un </w:t>
      </w:r>
      <w:r w:rsidR="000F6298">
        <w:t xml:space="preserve">territoire </w:t>
      </w:r>
      <w:r>
        <w:t xml:space="preserve">(beaucoup) plus vaste. Il est important de vérifier si et dans quelle mesure les connaissances acquises peuvent être extrapolées ou converties à </w:t>
      </w:r>
      <w:r w:rsidR="000F6298">
        <w:t xml:space="preserve">grande </w:t>
      </w:r>
      <w:r>
        <w:t>éc</w:t>
      </w:r>
      <w:r w:rsidR="000F6298">
        <w:t>helle d’une manière qui permettra</w:t>
      </w:r>
      <w:r>
        <w:t xml:space="preserve"> de prendre des décisions </w:t>
      </w:r>
      <w:r>
        <w:rPr>
          <w:i/>
        </w:rPr>
        <w:t>ex ante</w:t>
      </w:r>
      <w:r>
        <w:t xml:space="preserve"> concernant les effets à attendre du projet </w:t>
      </w:r>
      <w:r w:rsidR="000F6298">
        <w:t>commercial</w:t>
      </w:r>
      <w:r>
        <w:t>, en tenant compte des aspects cumulatifs et synergétiques.</w:t>
      </w:r>
    </w:p>
    <w:p w14:paraId="090E54E9" w14:textId="77777777" w:rsidR="005C4AB9" w:rsidRDefault="005C4AB9" w:rsidP="005E5966">
      <w:pPr>
        <w:pStyle w:val="ListParagraph"/>
        <w:numPr>
          <w:ilvl w:val="0"/>
          <w:numId w:val="3"/>
        </w:numPr>
        <w:jc w:val="both"/>
      </w:pPr>
      <w:r>
        <w:t>Le programme de suivi</w:t>
      </w:r>
      <w:r w:rsidR="00743A2A">
        <w:t xml:space="preserve"> se déroule sur une période de 2 ans. Il nous paraît approprié de prolonger les travaux de suivi sur une période d’au moins 10 ans, afin de relever aussi les effets qui se manifestent sur une période plus longue.</w:t>
      </w:r>
    </w:p>
    <w:p w14:paraId="05DC220D" w14:textId="5E02624F" w:rsidR="00743A2A" w:rsidRDefault="00743A2A" w:rsidP="005E5966">
      <w:pPr>
        <w:pStyle w:val="ListParagraph"/>
        <w:numPr>
          <w:ilvl w:val="0"/>
          <w:numId w:val="3"/>
        </w:numPr>
        <w:jc w:val="both"/>
      </w:pPr>
      <w:r>
        <w:t xml:space="preserve">La phase de recherche et de suivi doit être </w:t>
      </w:r>
      <w:r w:rsidR="000F6298">
        <w:t>orient</w:t>
      </w:r>
      <w:r>
        <w:t>ée ve</w:t>
      </w:r>
      <w:r w:rsidR="005E5966">
        <w:t xml:space="preserve">rs et résulter dans un cadre conceptuel </w:t>
      </w:r>
      <w:r>
        <w:t xml:space="preserve">pour l’évaluation des différents effets </w:t>
      </w:r>
      <w:r w:rsidRPr="000F6298">
        <w:t>sensibles</w:t>
      </w:r>
      <w:r>
        <w:t xml:space="preserve"> potentiels d’un projet d’exploitation comparable.</w:t>
      </w:r>
    </w:p>
    <w:p w14:paraId="6912F110" w14:textId="22ED9C6A" w:rsidR="00743A2A" w:rsidRDefault="00743A2A" w:rsidP="005E5966">
      <w:pPr>
        <w:pStyle w:val="ListParagraph"/>
        <w:numPr>
          <w:ilvl w:val="0"/>
          <w:numId w:val="3"/>
        </w:numPr>
        <w:jc w:val="both"/>
      </w:pPr>
      <w:r>
        <w:t xml:space="preserve">Dans le cadre du programme de recherche et de suivi, il devra être déterminé si, et démontré que, la zone de référence initiale choisie ne sera effectivement pas impactée par les effets du projet pilote. S’il apparaissait que </w:t>
      </w:r>
      <w:r w:rsidR="000F6298">
        <w:t>c’</w:t>
      </w:r>
      <w:r>
        <w:t>est le cas, une ou plusieurs autres zones de références devront être définies à une distance plus grande du lieu du projet que celle de 11 km fixée actuellement.</w:t>
      </w:r>
    </w:p>
    <w:p w14:paraId="16B6D053" w14:textId="22250102" w:rsidR="008205D1" w:rsidRDefault="00743A2A" w:rsidP="005E5966">
      <w:pPr>
        <w:pStyle w:val="ListParagraph"/>
        <w:numPr>
          <w:ilvl w:val="0"/>
          <w:numId w:val="3"/>
        </w:numPr>
        <w:jc w:val="both"/>
      </w:pPr>
      <w:r>
        <w:lastRenderedPageBreak/>
        <w:t xml:space="preserve">Il est souhaitable que les recherches concernant l’efficacité et les effets négatifs de </w:t>
      </w:r>
      <w:r w:rsidRPr="000F6298">
        <w:t xml:space="preserve">mesures </w:t>
      </w:r>
      <w:r w:rsidR="000F6298" w:rsidRPr="000F6298">
        <w:t>d’</w:t>
      </w:r>
      <w:r w:rsidRPr="000F6298">
        <w:t>atténuation</w:t>
      </w:r>
      <w:r>
        <w:t xml:space="preserve"> soient reprises en tant que </w:t>
      </w:r>
      <w:r w:rsidR="00896589">
        <w:t>partie du programme de recherche et de suivi. Ici aussi, il peut s’agir de la recherche d’alternatives opérationnelles (</w:t>
      </w:r>
      <w:r w:rsidR="000F6298">
        <w:t>non</w:t>
      </w:r>
      <w:r w:rsidR="00896589">
        <w:t xml:space="preserve"> prévues actuellement), ce qui pou</w:t>
      </w:r>
      <w:r w:rsidR="000F6298">
        <w:t>rrait contribuer à définir une « </w:t>
      </w:r>
      <w:r w:rsidR="00896589">
        <w:t>Best Practicable Environmental Option (BPEO) » pour l’exploitation commerciale.</w:t>
      </w:r>
    </w:p>
    <w:p w14:paraId="7E62CE00" w14:textId="77777777" w:rsidR="00896589" w:rsidRDefault="00896589" w:rsidP="005E5966">
      <w:pPr>
        <w:pStyle w:val="ListParagraph"/>
        <w:ind w:left="1080"/>
        <w:jc w:val="both"/>
      </w:pPr>
    </w:p>
    <w:p w14:paraId="2F85CBA4" w14:textId="77777777" w:rsidR="00896589" w:rsidRDefault="00896589" w:rsidP="005E5966">
      <w:pPr>
        <w:pStyle w:val="ListParagraph"/>
        <w:numPr>
          <w:ilvl w:val="0"/>
          <w:numId w:val="1"/>
        </w:numPr>
        <w:jc w:val="both"/>
      </w:pPr>
      <w:r>
        <w:t>Le WWF demande que toutes les données de recherche et de suivi soient rendues publiques, de sorte que le test d’exploitation contribue de manière effective à l’élargissement des connaissances générales, en ce compris les connaissances de base pour d’éventuels rapports concernant les effets environnementaux d’opérations à grande échelle.</w:t>
      </w:r>
    </w:p>
    <w:p w14:paraId="3AE20CF3" w14:textId="228EDA29" w:rsidR="00896589" w:rsidRDefault="00896589" w:rsidP="005E5966">
      <w:pPr>
        <w:pStyle w:val="ListParagraph"/>
        <w:numPr>
          <w:ilvl w:val="0"/>
          <w:numId w:val="1"/>
        </w:numPr>
        <w:jc w:val="both"/>
      </w:pPr>
      <w:r>
        <w:t xml:space="preserve">Le WWF demande que le gouvernement exige de GSR les garanties financières pour les mesures </w:t>
      </w:r>
      <w:r w:rsidR="000F6298">
        <w:t>d’atténuation et de remédiation</w:t>
      </w:r>
      <w:r>
        <w:t xml:space="preserve"> si celles-ci s’avéraient nécessaires.</w:t>
      </w:r>
    </w:p>
    <w:p w14:paraId="0D178CDD" w14:textId="77777777" w:rsidR="00896589" w:rsidRDefault="00896589" w:rsidP="005E5966">
      <w:pPr>
        <w:pStyle w:val="ListParagraph"/>
        <w:numPr>
          <w:ilvl w:val="0"/>
          <w:numId w:val="1"/>
        </w:numPr>
        <w:jc w:val="both"/>
      </w:pPr>
      <w:r>
        <w:t xml:space="preserve">Le WWF demande à être informé de la manière dont le gouvernement donnera suite aux </w:t>
      </w:r>
      <w:r w:rsidR="00FE0B92">
        <w:t xml:space="preserve">remarques </w:t>
      </w:r>
      <w:r>
        <w:t xml:space="preserve">qui seront </w:t>
      </w:r>
      <w:r w:rsidR="00FE0B92">
        <w:t>récolt</w:t>
      </w:r>
      <w:r>
        <w:t>ées dans le cadre de la consultation publique informelle.</w:t>
      </w:r>
    </w:p>
    <w:p w14:paraId="5B83B1CE" w14:textId="77777777" w:rsidR="00896589" w:rsidRDefault="00896589" w:rsidP="005E5966">
      <w:pPr>
        <w:jc w:val="both"/>
      </w:pPr>
    </w:p>
    <w:p w14:paraId="66491C87" w14:textId="77777777" w:rsidR="008205D1" w:rsidRPr="008205D1" w:rsidRDefault="008205D1" w:rsidP="005E5966">
      <w:pPr>
        <w:jc w:val="both"/>
      </w:pPr>
    </w:p>
    <w:sectPr w:rsidR="008205D1" w:rsidRPr="00820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128FD"/>
    <w:multiLevelType w:val="hybridMultilevel"/>
    <w:tmpl w:val="D0000872"/>
    <w:lvl w:ilvl="0" w:tplc="FEA001D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2BA642C4"/>
    <w:multiLevelType w:val="hybridMultilevel"/>
    <w:tmpl w:val="D6144A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733D41C1"/>
    <w:multiLevelType w:val="hybridMultilevel"/>
    <w:tmpl w:val="9B3E0E6A"/>
    <w:lvl w:ilvl="0" w:tplc="0B9004C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1D"/>
    <w:rsid w:val="00003949"/>
    <w:rsid w:val="00022714"/>
    <w:rsid w:val="000572C9"/>
    <w:rsid w:val="000D582E"/>
    <w:rsid w:val="000F6154"/>
    <w:rsid w:val="000F6298"/>
    <w:rsid w:val="00111270"/>
    <w:rsid w:val="001C1B1F"/>
    <w:rsid w:val="00214E46"/>
    <w:rsid w:val="002208C9"/>
    <w:rsid w:val="00222C20"/>
    <w:rsid w:val="00291546"/>
    <w:rsid w:val="002A000D"/>
    <w:rsid w:val="00353E61"/>
    <w:rsid w:val="00371327"/>
    <w:rsid w:val="003C0ABB"/>
    <w:rsid w:val="004145A1"/>
    <w:rsid w:val="004C4840"/>
    <w:rsid w:val="00517BB3"/>
    <w:rsid w:val="00521ED8"/>
    <w:rsid w:val="005B6628"/>
    <w:rsid w:val="005C4AB9"/>
    <w:rsid w:val="005D1813"/>
    <w:rsid w:val="005E2E65"/>
    <w:rsid w:val="005E5966"/>
    <w:rsid w:val="006A645F"/>
    <w:rsid w:val="006B47DA"/>
    <w:rsid w:val="006B6D87"/>
    <w:rsid w:val="006C5593"/>
    <w:rsid w:val="00743A2A"/>
    <w:rsid w:val="007D2EED"/>
    <w:rsid w:val="007F392C"/>
    <w:rsid w:val="00815FF7"/>
    <w:rsid w:val="008205D1"/>
    <w:rsid w:val="0083664B"/>
    <w:rsid w:val="00850B5F"/>
    <w:rsid w:val="00896589"/>
    <w:rsid w:val="00933A72"/>
    <w:rsid w:val="009C681D"/>
    <w:rsid w:val="00A649FB"/>
    <w:rsid w:val="00A95037"/>
    <w:rsid w:val="00AB57CD"/>
    <w:rsid w:val="00B337F1"/>
    <w:rsid w:val="00C538F4"/>
    <w:rsid w:val="00C758EB"/>
    <w:rsid w:val="00C80A85"/>
    <w:rsid w:val="00C932E7"/>
    <w:rsid w:val="00CE7EAE"/>
    <w:rsid w:val="00CF57B7"/>
    <w:rsid w:val="00D02B1C"/>
    <w:rsid w:val="00D73699"/>
    <w:rsid w:val="00D81786"/>
    <w:rsid w:val="00EC1D18"/>
    <w:rsid w:val="00EE45BE"/>
    <w:rsid w:val="00EF289D"/>
    <w:rsid w:val="00F246C4"/>
    <w:rsid w:val="00F71D93"/>
    <w:rsid w:val="00F97701"/>
    <w:rsid w:val="00FB4615"/>
    <w:rsid w:val="00FE0B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E35D"/>
  <w15:chartTrackingRefBased/>
  <w15:docId w15:val="{13ECF043-C90E-4AE7-9725-FA562D11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BB3"/>
    <w:pPr>
      <w:ind w:left="720"/>
      <w:contextualSpacing/>
    </w:pPr>
  </w:style>
  <w:style w:type="paragraph" w:customStyle="1" w:styleId="Default">
    <w:name w:val="Default"/>
    <w:rsid w:val="00FB461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932E7"/>
    <w:rPr>
      <w:sz w:val="16"/>
      <w:szCs w:val="16"/>
    </w:rPr>
  </w:style>
  <w:style w:type="paragraph" w:styleId="CommentText">
    <w:name w:val="annotation text"/>
    <w:basedOn w:val="Normal"/>
    <w:link w:val="CommentTextChar"/>
    <w:uiPriority w:val="99"/>
    <w:semiHidden/>
    <w:unhideWhenUsed/>
    <w:rsid w:val="00C932E7"/>
    <w:pPr>
      <w:spacing w:line="240" w:lineRule="auto"/>
    </w:pPr>
    <w:rPr>
      <w:sz w:val="20"/>
      <w:szCs w:val="20"/>
    </w:rPr>
  </w:style>
  <w:style w:type="character" w:customStyle="1" w:styleId="CommentTextChar">
    <w:name w:val="Comment Text Char"/>
    <w:basedOn w:val="DefaultParagraphFont"/>
    <w:link w:val="CommentText"/>
    <w:uiPriority w:val="99"/>
    <w:semiHidden/>
    <w:rsid w:val="00C932E7"/>
    <w:rPr>
      <w:sz w:val="20"/>
      <w:szCs w:val="20"/>
    </w:rPr>
  </w:style>
  <w:style w:type="paragraph" w:styleId="CommentSubject">
    <w:name w:val="annotation subject"/>
    <w:basedOn w:val="CommentText"/>
    <w:next w:val="CommentText"/>
    <w:link w:val="CommentSubjectChar"/>
    <w:uiPriority w:val="99"/>
    <w:semiHidden/>
    <w:unhideWhenUsed/>
    <w:rsid w:val="00C932E7"/>
    <w:rPr>
      <w:b/>
      <w:bCs/>
    </w:rPr>
  </w:style>
  <w:style w:type="character" w:customStyle="1" w:styleId="CommentSubjectChar">
    <w:name w:val="Comment Subject Char"/>
    <w:basedOn w:val="CommentTextChar"/>
    <w:link w:val="CommentSubject"/>
    <w:uiPriority w:val="99"/>
    <w:semiHidden/>
    <w:rsid w:val="00C932E7"/>
    <w:rPr>
      <w:b/>
      <w:bCs/>
      <w:sz w:val="20"/>
      <w:szCs w:val="20"/>
    </w:rPr>
  </w:style>
  <w:style w:type="paragraph" w:styleId="BalloonText">
    <w:name w:val="Balloon Text"/>
    <w:basedOn w:val="Normal"/>
    <w:link w:val="BalloonTextChar"/>
    <w:uiPriority w:val="99"/>
    <w:semiHidden/>
    <w:unhideWhenUsed/>
    <w:rsid w:val="00C93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2E7"/>
    <w:rPr>
      <w:rFonts w:ascii="Segoe UI" w:hAnsi="Segoe UI" w:cs="Segoe UI"/>
      <w:sz w:val="18"/>
      <w:szCs w:val="18"/>
    </w:rPr>
  </w:style>
  <w:style w:type="character" w:styleId="Hyperlink">
    <w:name w:val="Hyperlink"/>
    <w:basedOn w:val="DefaultParagraphFont"/>
    <w:uiPriority w:val="99"/>
    <w:semiHidden/>
    <w:unhideWhenUsed/>
    <w:rsid w:val="00C538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79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1C5D-F5A3-4920-B970-D23B9FC7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1851</Words>
  <Characters>10182</Characters>
  <Application>Microsoft Office Word</Application>
  <DocSecurity>0</DocSecurity>
  <Lines>84</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Collette</dc:creator>
  <cp:keywords/>
  <dc:description/>
  <cp:lastModifiedBy>Cynthia Bashizi Nabizana</cp:lastModifiedBy>
  <cp:revision>2</cp:revision>
  <cp:lastPrinted>2018-09-17T09:28:00Z</cp:lastPrinted>
  <dcterms:created xsi:type="dcterms:W3CDTF">2018-09-21T12:31:00Z</dcterms:created>
  <dcterms:modified xsi:type="dcterms:W3CDTF">2018-09-21T12:31:00Z</dcterms:modified>
</cp:coreProperties>
</file>